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56" w:rsidRDefault="00F8283A" w:rsidP="00F828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ИНФОРМАЦИЯ ПО ВОПРОСАМ ПРОТИВОПРАВНОГО ПОВЕДЕНИЯ НЕСОВЕРШЕННОЛЕТНИХ </w:t>
      </w:r>
    </w:p>
    <w:p w:rsidR="00F8283A" w:rsidRPr="00F8283A" w:rsidRDefault="00F8283A" w:rsidP="00F828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06F56" w:rsidRPr="00F8283A" w:rsidRDefault="00652024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  <w:lang w:val="ru-RU"/>
        </w:rPr>
        <w:t>Деятельность по пре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упреж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дению 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преступлений, совершае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мых д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етьми, всегда является первостепенной задачей для любого государства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Ведь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от того,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насколько </w:t>
      </w:r>
      <w:proofErr w:type="gramStart"/>
      <w:r w:rsidRPr="00F8283A">
        <w:rPr>
          <w:rFonts w:ascii="Times New Roman" w:hAnsi="Times New Roman" w:cs="Times New Roman"/>
          <w:sz w:val="28"/>
          <w:szCs w:val="28"/>
          <w:lang w:val="ru-RU"/>
        </w:rPr>
        <w:t>законопослушными</w:t>
      </w:r>
      <w:proofErr w:type="gramEnd"/>
      <w:r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мы сможем воспитать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етей, зависит в целом благополучие страны.</w:t>
      </w:r>
    </w:p>
    <w:p w:rsidR="00106F56" w:rsidRPr="00F8283A" w:rsidRDefault="00652024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последнего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есятилетия количество зарегистрированных преступлений с участием несовершеннолетних снизилось более чем в два раза с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тысяч до </w:t>
      </w:r>
      <w:r w:rsidR="00106F56" w:rsidRPr="00F8283A">
        <w:rPr>
          <w:rFonts w:ascii="Times New Roman" w:hAnsi="Times New Roman" w:cs="Times New Roman"/>
          <w:noProof/>
          <w:sz w:val="28"/>
          <w:szCs w:val="28"/>
          <w:lang w:val="ru-RU"/>
        </w:rPr>
        <w:t>1</w:t>
      </w:r>
      <w:r w:rsidRPr="00F8283A">
        <w:rPr>
          <w:rFonts w:ascii="Times New Roman" w:hAnsi="Times New Roman" w:cs="Times New Roman"/>
          <w:sz w:val="28"/>
          <w:szCs w:val="28"/>
          <w:lang w:val="ru-RU"/>
        </w:rPr>
        <w:t>400.</w:t>
      </w:r>
    </w:p>
    <w:p w:rsidR="00106F56" w:rsidRPr="00F8283A" w:rsidRDefault="00F8283A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98" o:spid="_x0000_i1025" type="#_x0000_t75" style="width:.95pt;height:1.85pt;visibility:visible;mso-wrap-style:square">
            <v:imagedata r:id="rId8" o:title=""/>
          </v:shape>
        </w:pic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Несомненно, как и раньше, основная причина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етской преступности, это корысть. Однако способы совершения противоправных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>еяний уже изменились. Теперь чтобы совершить хищение, на улицу можно не выхо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ить, 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>остаточно на</w:t>
      </w:r>
      <w:r w:rsidR="00106F56" w:rsidRPr="00F8283A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652024" w:rsidRPr="00F8283A">
        <w:rPr>
          <w:rFonts w:ascii="Times New Roman" w:hAnsi="Times New Roman" w:cs="Times New Roman"/>
          <w:sz w:val="28"/>
          <w:szCs w:val="28"/>
          <w:lang w:val="ru-RU"/>
        </w:rPr>
        <w:t>ать несколько кнопок на клавиатуре компьютера или смартфона.</w:t>
      </w:r>
    </w:p>
    <w:p w:rsidR="007F3D47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106F5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анный момент структура </w:t>
      </w:r>
      <w:r w:rsidR="00106F5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етской преступности в</w:t>
      </w:r>
      <w:r w:rsidR="00106F5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ыглядит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</w:t>
      </w:r>
      <w:r w:rsidR="00106F5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ующим образом. Основным видом преступлений, совершаемых </w:t>
      </w:r>
      <w:r w:rsidR="00106F5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етьми, являются кражи, хулиганства, незаконный оборот наркотиков и мошенничества. Что касается краж, то их удельный вес составляет поря</w:t>
      </w:r>
      <w:r w:rsidR="007F3D47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ка 25</w:t>
      </w:r>
      <w:r w:rsidR="007F3D47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%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Воруют по</w:t>
      </w:r>
      <w:r w:rsidR="007F3D47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дростки в основном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еньги, ценные украшения и металл, который в последующем с</w:t>
      </w:r>
      <w:r w:rsidR="007F3D47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ают в пункты приема металлолома.</w:t>
      </w:r>
    </w:p>
    <w:p w:rsidR="003A3C06" w:rsidRPr="00F8283A" w:rsidRDefault="00652024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мы констатируем, что большинство преступлений перехо</w:t>
      </w:r>
      <w:r w:rsidR="007F3D47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 в «цифру»: социальные сети и Интернет. В первую очередь это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ействия, связанные с мошенничеством и незаконным оборотом наркотиков.</w:t>
      </w:r>
    </w:p>
    <w:p w:rsidR="003A3C06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Мошеннические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ействия в Интернете, куда в первую очередь вовлекаются дети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это про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ажа товаров через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маркетплейсы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Наиболее распространенный способ, к которому приб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егают под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ростки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торговля на платформе «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Куфар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». Механизм прост. По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росток размещает объявление о продаже товара с его фотографиями. Наиболее востребованным товаром у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 являются кроссовки, сумочки и спортивная 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дежда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Ког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 покупатель перево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 часть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енег на абонентский номер, по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дро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сток переста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 выхо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дить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связь. В 90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 %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случаев потерп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евшими от таких противоправных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еяний выступают такие же несовершеннолетние.</w:t>
      </w:r>
    </w:p>
    <w:p w:rsidR="003A3C06" w:rsidRPr="00F8283A" w:rsidRDefault="003A3C06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 глобальной компьютерной сети также происходит вовлечение детей в незаконный оборот наркотиков, начиная от их вербовки, обучения и заканчивая передачей денег. К сожалению наркотики, никуда не ушли, а их незаконный оборот один из наиболее распространенных преступлений в молодежной среде.</w:t>
      </w:r>
    </w:p>
    <w:p w:rsidR="003A3C06" w:rsidRPr="00F8283A" w:rsidRDefault="003A3C06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На смену «СПАЙ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СУ»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пришли 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называемые «СОЛИ». Это психотропные вещества. В стране </w:t>
      </w:r>
      <w:proofErr w:type="gram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распространены</w:t>
      </w:r>
      <w:proofErr w:type="gram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мефе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рон</w:t>
      </w:r>
      <w:proofErr w:type="spell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, альфа-Р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VP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4-СМС. Их потребление может привести к летальному исхо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аже при первичном потреблении. В текущем году в реанимационное от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еление 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госпитализировано 4 несовершеннолетних от пере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озировок наркотиками, а в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прошлом 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8.</w:t>
      </w:r>
    </w:p>
    <w:p w:rsidR="003A3C06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Хотелось бы напомнить, что в Республике Беларусь нет легальных наркотиков. Все наркотики запрещены и находятся под контролем.</w:t>
      </w:r>
    </w:p>
    <w:p w:rsidR="003A3C06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сегодняшний день основным ресурсом для их распространения стал Интернет. Все мы являемся его активными пользователями и, безусловно, сталкивались с тем, насколько агрессивна и в тоже время заманчива реклама о возможностях быстрого, легкого, а самое главное 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 немаленького заработка.</w:t>
      </w:r>
    </w:p>
    <w:p w:rsidR="00FA6AF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Именно в Интернете происхо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 вербовка основного персонала для работы курьерами или, так называемыми «за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кладч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иками». Как правило, рассылка сообщений о трудоустройстве происхо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 через социальные сети либо путем веерной рассылки предложений о высокооплачиваемой работе в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мессен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жерах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После заинтересованности в пре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ложении работы общение перехо</w:t>
      </w:r>
      <w:r w:rsidR="003A3C0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 в 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Telegram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Дальнейшем у потенциального работника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выясняется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каком регионе он готов работать. Обсуждается заработная плата, условия и варианты ее выплаты. Проводится инструктаж о соблюдении мер конспирации. Вновь принимаемого «закладчика» убеждают, что при соблюдении всех мер безопасности, риск быть задержанным практически отсутствует. Это абсолютная ложь! В среднем «трудовой стаж закладчика» до момента привлечения к уголовной ответственности составля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 от 1-2 дней до нескольких нед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ель. А некоторые за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ерживаются при первой попытке заработать.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этом никто из молодых людей, вступая на эту опасную тропу, не задумается ни о последствиях для себя и своей семьи, ни о том человеке, который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потребит наркотик. Однако заклад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чики мыслят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ругими категориями.</w:t>
      </w:r>
    </w:p>
    <w:p w:rsidR="00745024" w:rsidRPr="00F8283A" w:rsidRDefault="00F8283A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</w:rPr>
        <w:pict>
          <v:shape id="Picture 29820" o:spid="_x0000_i1026" type="#_x0000_t75" style="width:.95pt;height:6.55pt;visibility:visible;mso-wrap-style:square">
            <v:imagedata r:id="rId9" o:title=""/>
          </v:shape>
        </w:pic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Руководствуясь исключительно корыстными интересами, они быстро попа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аются на профессиональные приемы организаторов </w:t>
      </w:r>
      <w:proofErr w:type="gram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интернет-магазинов</w:t>
      </w:r>
      <w:proofErr w:type="gram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, становясь для них очередным расходным материалом.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Очевидно, что задержанные молодые люди абсолютно четко пре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ставляют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чем пре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стоит заниматься, осознают существующие риски.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юношеский максимализм, самоуверенность, жажда легких и быстрых денег, позволяют наивно полагаться на удачу,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умать, что они избегут ответственности.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Парадоксально, но также наивно рассуждают и взрослые, более того,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большинство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убеждены, что наркотики коснуться кого угодно, но только не их семью.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Прошу Вас обратить внимание на следующие признаки, свидетельствующие о том, что ребенок может быть вовлечен в незаконный оборот наркотиков.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Во-первых, это наличие установленных в мобильном телефоне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мессен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жеров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позволяющих покупать наркотики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Интернете (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</w:rPr>
        <w:t>VIPole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</w:rPr>
        <w:t>WickrMe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</w:rPr>
        <w:t>WeChat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Signal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) и анонимного браузера (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gramEnd"/>
      <w:r w:rsidR="00745024" w:rsidRPr="00F8283A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74502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Во-вторых, наличие прило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жений, позволяющих опред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елять (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</w:rPr>
        <w:t>GPS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коор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инаты и накла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дывать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их на фотографии (например,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</w:rPr>
        <w:t>NoteCam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его аналоги 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GPS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Мар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Сатера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</w:rPr>
        <w:t>SurveyCam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GPS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ругие).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Этому стоит у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елить самое пристальное внимание, т.к. 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анные программы на 90</w:t>
      </w:r>
      <w:r w:rsidR="00745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используются исключительно сбытчиками наркотиков.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В-третьих, появление свободных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енежных средств, банковских карт, новых вещей, Друзей,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правило, старшего возраста.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В-четвертых, по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дро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сток стал закрывать на ключ комнату или ящики стола,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изменил пароль на телефоне или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ругом электрон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ном устройстве и не желает его в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ам сообщать.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недопущения подобного Вам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принимать меры по отслеживанию активности своих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 в сети Интернет. Знать с кем они переписываются, что ищут с помощью поисковых систем. Для этого существует различные программы ро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ительского контроля, которые бесплатно можно установить на мобильны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телефон, ноутбук или компьютер.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Не теряет ак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туальности проблема совершения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етьми грабежей и мошенничеств, где предметом преступных посягательств выступают электронные системы курения или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вэйпы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анный момент мы столкнулись с тем, что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вейп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ребенка является обязательным аксессуаром. С «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электронками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ети не расстаются как в учреждениях образования, так и на улицах.</w:t>
      </w:r>
    </w:p>
    <w:p w:rsidR="00336525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Результаты проводимых профилактических мероприятий сви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етельству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о том, что легкая </w:t>
      </w:r>
      <w:r w:rsidR="00336525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оступность электронных систем курения для несовершеннолетних является ключевой причиной их потребления.</w:t>
      </w:r>
    </w:p>
    <w:p w:rsidR="00C741BB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информации Министерства здравоохранения потребление электронных систем курения негативно воздействует на </w:t>
      </w:r>
      <w:r w:rsidR="00C741BB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дыхательную систему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етей, увеличивает образование тромбов.</w:t>
      </w:r>
    </w:p>
    <w:p w:rsidR="00C741BB" w:rsidRPr="00F8283A" w:rsidRDefault="00C741BB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 курение «</w:t>
      </w:r>
      <w:proofErr w:type="spell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электронок</w:t>
      </w:r>
      <w:proofErr w:type="spell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 в запрещенных местах наравне с обычными сигаретами предусмотрена административная ответственность (ст. 19.9 КоАП) в виде штрафа в размере до 4 базовых величин. В учреждениях образования курение запрещено!</w:t>
      </w:r>
    </w:p>
    <w:p w:rsidR="00C741BB" w:rsidRPr="00F8283A" w:rsidRDefault="00C741BB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олодежь все глубже ухо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 в Интернет, с помощью которого совершаются преступления. Чтобы «и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ти в ногу со временем» сотру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ники ми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лиц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активно занимаются мониторингом </w:t>
      </w:r>
      <w:proofErr w:type="gram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Интернет-пространства</w:t>
      </w:r>
      <w:proofErr w:type="gram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Особенно чатов, где присутствуют по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ростки.</w:t>
      </w:r>
    </w:p>
    <w:p w:rsidR="00C741BB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 все чаще сталкиваемся с группами в телеграмм-каналах, где распространяется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Деструктивный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контент.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Так, некоторое время назад сотрудниками милиц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ходе мониторинга социальных сетей,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выявили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телеграмм-канал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«Позор Барановичи». Он был соз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ан тремя учащимися местного колле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жа и гимназии. В н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 состояло более 350 участников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основном по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ростки. В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телеграмм-канале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размещали кадры из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евательств над сверстниками, в том числе в учебных заведениях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Кроме того,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популяризировалась нацистская символика, распространялись порнографические материалы с участием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етей.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 итогам 9 несовершеннолетних фигурантов привлечены к административной ответственности.</w:t>
      </w:r>
      <w:proofErr w:type="gramEnd"/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екабре прошлого года в Минске мы выявили в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Телеграмм-канале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группу «Минск всё о тебе». В ней состояло около двух с половиной тысяч подписчиков. В основном это были ученики столичных школ. Там нахо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ились не только ви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еоролики потребления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етьми алкоголя,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вэйпов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зачастую во время учебных занятий, но так же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емонстрировалась нацистская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символика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распространя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ись порнографические видеоматериалы.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0513412A" wp14:editId="4EB7AD91">
            <wp:simplePos x="0" y="0"/>
            <wp:positionH relativeFrom="page">
              <wp:posOffset>7466076</wp:posOffset>
            </wp:positionH>
            <wp:positionV relativeFrom="page">
              <wp:posOffset>544068</wp:posOffset>
            </wp:positionV>
            <wp:extent cx="4572" cy="4572"/>
            <wp:effectExtent l="0" t="0" r="0" b="0"/>
            <wp:wrapSquare wrapText="bothSides"/>
            <wp:docPr id="9376" name="Picture 9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" name="Picture 93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 сожалению, это не е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иничные примеры. Практически еженедельно мы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выявляем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такие группы и принимаем меры по их блокировке.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 сленге современных по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ростков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авно появились такие слова как «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Флэт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 и «Вписка».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Попросту говоря, это вечеринки устраиваемые молодыми людьми на чьей-то квартире. Зачастую компании состоят из абсолютно незнакомых людей, которые находят друг друга через социальные сети. Все они связаны с употреблением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веществ, таких как алкоголь, сигареты,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вэйпы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наркотики.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Данные факты приво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ят к трагическим после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ствиям. Так, в прошлом году в Светлогорске, во время такой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тусовки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несовершеннолетний выпрыгнул из окна 9 этажа. 15-летнюю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евочку в Минске изнасиловали, ког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 та, выпив изрядную дозу спиртного, уснула. Полгода назад в Гомельском районе 16-летний по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росток </w:t>
      </w:r>
      <w:proofErr w:type="gramStart"/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оставлена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такой вечеринки в реанимацию с переломом основания свода черепа.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сожалению аналогичных случаев много. В текущем году сотрудниками инспекций по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елам несовершеннолетних уже выявлено более 500 таких пьяных вечеринок. В них принимало участие свыше 700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етей. 250 взрослых лиц привлечены к административной ответственности за распитие с ними алкогольных напитков. В этих случаях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тяжких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после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ствий удалось избежать.</w:t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По-прежнему актуальна проблематика гибели и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травмирования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 в результате наезда железнодорожным транспортом.</w:t>
      </w:r>
      <w:r w:rsidRPr="00F828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78A6E30" wp14:editId="14B21177">
            <wp:extent cx="13716" cy="18288"/>
            <wp:effectExtent l="0" t="0" r="0" b="0"/>
            <wp:docPr id="9684" name="Picture 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" name="Picture 96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74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Причинами получения травм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явились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попытки проезда на внешних конструкциях вагонов поездов. В текущем году выявлено 15 фактов «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зацеперства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 со стороны по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ростков. Свои противоправные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ействия они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снимали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на камеры мобильных телефонов.</w:t>
      </w:r>
    </w:p>
    <w:p w:rsidR="006E2074" w:rsidRPr="00F8283A" w:rsidRDefault="00F8283A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</w:rPr>
        <w:pict>
          <v:shape id="Picture 29851" o:spid="_x0000_i1027" type="#_x0000_t75" style="width:.95pt;height:1.85pt;visibility:visible;mso-wrap-style:square">
            <v:imagedata r:id="rId12" o:title=""/>
          </v:shape>
        </w:pic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Железная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орога не прощает ошибок, </w:t>
      </w:r>
      <w:proofErr w:type="gram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 сожалению,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обхо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ится без трагических случаев. За 7 месяцев под колесами поез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 погибло 4 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етей, 2 были серьезно травмированы в результате поражения электрическим током и па</w:t>
      </w:r>
      <w:r w:rsidR="006E207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ения с вагона.</w:t>
      </w:r>
    </w:p>
    <w:p w:rsidR="005C0BC9" w:rsidRPr="00F8283A" w:rsidRDefault="006E207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Выявлено 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более 30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етей, из-за которых произво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илось экстренное торможение поез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ов. Причина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наложение ими на рельсы камней или 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посторонних пре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метов в виде бр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вен и труб. Очень важно рассказывать Детям о том, что подобные шалости могут повлечь тяжкие после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ствия, вплоть до схода поез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да с рельс. В результате таких 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ействий могут постра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ать все пассажиры поезда.</w:t>
      </w:r>
    </w:p>
    <w:p w:rsidR="005C0BC9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объекты железной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ороги есть не везде, то с авто и мототранспортом Дети сталкиваются ежедневно. </w:t>
      </w:r>
      <w:r w:rsidRPr="00F828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E54B69C" wp14:editId="62EE30DF">
            <wp:extent cx="4572" cy="4572"/>
            <wp:effectExtent l="0" t="0" r="0" b="0"/>
            <wp:docPr id="12547" name="Picture 1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" name="Picture 125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BC9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сожалению, по результатам 7 месяцев 2025 года отмечается рост количества ДТП (с 229 до 253; +24) с участием несовершеннолетних, погибших (с 9 до 17; +8) и раненых (с 254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264; +10)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них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етей.</w:t>
      </w:r>
    </w:p>
    <w:p w:rsidR="005C0BC9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5 лет в нашей стране в результате ДТП не стало 93 ребенка!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Это три ученических класса. Каждый четвертый ребе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нок, пострадавший в резул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ьтате аварии, становится инвалид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ом.</w:t>
      </w:r>
    </w:p>
    <w:p w:rsidR="005C0BC9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последние годы мы стали свидетелями активного использования в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орожном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вижении сре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 персональной мобильности и возрастающего интереса к пере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вижению на велосипедах.</w:t>
      </w:r>
    </w:p>
    <w:p w:rsidR="005C0BC9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 1 сентября 2025 года вступают в си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лу изменения в ПДД, касающиеся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вижения на </w:t>
      </w:r>
      <w:r w:rsidR="005C0BC9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анных транспортных средствах.</w:t>
      </w:r>
    </w:p>
    <w:p w:rsidR="001E455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Устройства, которые способные развивать скорость свыше 25 км/ч приравниваются к мопедам или мотоциклам. Для управления ими нужн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 регистрация транспортного сред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ства и во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ительское у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остоверение.</w:t>
      </w:r>
    </w:p>
    <w:p w:rsidR="001E455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Важно знать, что в ПДД предусмотрен запрет на использование сре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 персональной мобильности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етьми до 14 лет без сопровождения взрослого. Детям до 14 лет разрешено самостоятельно кататься на сре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дств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ах персональной мобильности только в жилых зонах. (Ж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илая зона 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территория, въезды и выезды с которой обозначены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орожными знаками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Жилая зона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Конец жилой зоны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же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воровая территория, прилегающая к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жилой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застройке, территория садоводческого товарищества или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ачного кооператива).</w:t>
      </w:r>
    </w:p>
    <w:p w:rsidR="001E4553" w:rsidRPr="00F8283A" w:rsidRDefault="00652024" w:rsidP="00F82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дителям сред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 персональной мобильности запрещается</w:t>
      </w:r>
      <w:r w:rsidR="001E4553" w:rsidRPr="00F8283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вижение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пешеходной зоне! (Пешехо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ная зона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территория, предназначенная для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вижения пешеходов и велосипе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истов, въезды на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которую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выезды с которой обозначены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орожными знаками «Пешеходная зона» и «Конец пешеходной зоны»).</w:t>
      </w:r>
    </w:p>
    <w:p w:rsidR="001E4553" w:rsidRPr="00F8283A" w:rsidRDefault="001E4553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Вод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ителю велосипеда до четырнадцати лет запрещается управлять велосипедом по проезжей части и обочине без сопровождения взрослого. Разрешается кататься на велосипе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в пешеходных и жилых зонах, по тротуарам, велосипедным и пешеходным 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орожкам.</w:t>
      </w:r>
    </w:p>
    <w:p w:rsidR="001E455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Перед пересечением проезжей части по пешеходному переходу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велосипе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ист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во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итель средства персональной мобильности обязаны спешиваться.</w:t>
      </w:r>
    </w:p>
    <w:p w:rsidR="001E455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Запрещается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вигаться на средстве персональной мобильности в населенном пункте со скоростью более 10 км/час. Исключение 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велодорожки и край проезжей части: з</w:t>
      </w:r>
      <w:r w:rsidR="001E4553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есь можно ехать до 25 км/час.</w:t>
      </w:r>
    </w:p>
    <w:p w:rsidR="00FC6E0C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текущем году особенно актуальна проблема травматизма несовершеннолетних водителей. За 7 месяцев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т.г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 количество ДТП с их участием выросло в 2,4 раза (с 11 до 26;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+15).</w:t>
      </w:r>
    </w:p>
    <w:p w:rsidR="00FC6E0C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исключить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оступ несовершеннолетних к автомобилям, мотоциклам и мопедам, а также к ключам от них. 12 фактов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травмирования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етей произошли из-за беспечности родителей, которые оставили ключи от автомобилей в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оступно</w:t>
      </w:r>
      <w:r w:rsidR="00001386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месте, а те воспользовались этим.</w:t>
      </w:r>
    </w:p>
    <w:p w:rsidR="00FC6E0C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Детям до 16 лет нельзя са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иться за руль мопе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да (скутера). Прежде чем ощутить себя водителем мопеда, под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росток обязан с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ать экзамен в ГАИ и получить у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остоверение соответствующей категории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C6E0C" w:rsidRPr="00F8283A" w:rsidRDefault="00F8283A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hAnsi="Times New Roman" w:cs="Times New Roman"/>
          <w:sz w:val="28"/>
          <w:szCs w:val="28"/>
        </w:rPr>
        <w:pict>
          <v:shape id="Picture 29863" o:spid="_x0000_i1028" type="#_x0000_t75" style="width:.95pt;height:7.5pt;visibility:visible;mso-wrap-style:square">
            <v:imagedata r:id="rId14" o:title=""/>
          </v:shape>
        </w:pic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Для получения водительского удостоверения категории «А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М»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(мопеды), необходимо в </w:t>
      </w:r>
      <w:proofErr w:type="spellStart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поряке</w:t>
      </w:r>
      <w:proofErr w:type="spellEnd"/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самопо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готовки с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652024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ать в ГАИ теоретический экзамен по ПДД.</w:t>
      </w:r>
    </w:p>
    <w:p w:rsidR="00FC6E0C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Мопе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двух- или трехколесное механическое транспортное сре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ство, приво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имое в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вижение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вигателем с рабочим объемом до 50 </w:t>
      </w:r>
      <w:proofErr w:type="spell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куб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.с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электродвигателем номинальной максимальной мощностью более 0,25 кВт и не более 4 кВт и имеющее максимальную конструктивную скорость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вижения, определенную его техническими характеристиками, не более 50 км/ч.</w:t>
      </w:r>
    </w:p>
    <w:p w:rsidR="00FC6E0C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 на управление механическим транспортным средством по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категории А</w:t>
      </w:r>
      <w:proofErr w:type="gramStart"/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(легкий мотоцикл) предоставляется лицам,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остигшим 16-летнего возраста, при этом необходимо с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ать как теоретический экзамен на знание ПДД, так и практический.</w:t>
      </w:r>
    </w:p>
    <w:p w:rsidR="008E2CF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категория «А</w:t>
      </w:r>
      <w:proofErr w:type="gramStart"/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- мотоциклы с рабочим объемом 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вигателя, не превышающим 125 куб. см, и максимальной мощностью, не превышающей 11 кВт (легкие мотоциклы).</w:t>
      </w:r>
    </w:p>
    <w:p w:rsidR="008E2CF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Лица, окончившие обучение в учебной организации на категорию «А», с 18 лет имеют право на управление механическим транспортным средством категории «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А» (мотоциклы) после успешной сдачи соответствующих экзаменов.</w:t>
      </w:r>
    </w:p>
    <w:p w:rsidR="008E2CF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Для управления мопедом (скутером) требуется наличие во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ительского удостоверения категории «А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М»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Обязательны своевременная регистрация транспортного средства, прохождение технического осмотра и страхование гражданской ответственности.</w:t>
      </w:r>
      <w:r w:rsidR="00FC6E0C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8E2CF3" w:rsidRPr="00F8283A" w:rsidRDefault="00FC6E0C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При движении на мопеде водитель обязан быть в застегнутом мотошлеме и не перевозить пассажиров без застегнутого мотошлема.</w:t>
      </w:r>
    </w:p>
    <w:p w:rsidR="008E2CF3" w:rsidRPr="00F8283A" w:rsidRDefault="00FC6E0C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Как и любое транспортное средства мопед (скутер) должен эксплуатироваться только в технически исправном состоянии, без каких- либо «переделок». Также в ПДД определен еще ряд запретов для водителя мопеда, а именно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E2CF3" w:rsidRPr="00F8283A" w:rsidRDefault="009B6192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нельзя перевозить пассажиров, если это не предусмотрено конструкцией мопеда, а также находящихся в состоянии опьянения;</w:t>
      </w:r>
    </w:p>
    <w:p w:rsidR="008E2CF3" w:rsidRPr="00F8283A" w:rsidRDefault="009B6192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наличия предусмотренного места – пассажир должен быть старше 12 лет; </w:t>
      </w:r>
    </w:p>
    <w:p w:rsidR="008E2CF3" w:rsidRPr="00F8283A" w:rsidRDefault="009B6192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водителю мопеда запрещается ездить по тротуарам, велосипедным и пешеходным дорожкам.</w:t>
      </w:r>
    </w:p>
    <w:p w:rsidR="008E2CF3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Подводя итоги своего выступления, хочу отметить, что актуальную информацию по профилактике 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етской преступности Вы можете посмотреть на сайте «</w:t>
      </w:r>
      <w:proofErr w:type="spellStart"/>
      <w:r w:rsidR="009B6192" w:rsidRPr="00F8283A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kidspomogut</w:t>
      </w:r>
      <w:proofErr w:type="spell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8283A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Посредством этого ресурса также возможно оказание психологической помощи и консультирование, как родителей, так и 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етей.</w:t>
      </w:r>
    </w:p>
    <w:p w:rsidR="009B6192" w:rsidRPr="00F8283A" w:rsidRDefault="00652024" w:rsidP="00F828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Благополучие и безопасно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сть 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етей в большинстве случаев зависит от Вас родителей. Если Вы организуете их 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bookmarkStart w:id="0" w:name="_GoBack"/>
      <w:bookmarkEnd w:id="0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суговую занятость, обеспечите </w:t>
      </w:r>
      <w:proofErr w:type="gramStart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пребыванием дома, в сети Интернет и во дворе, это минимизирует риски совершить необдуманный поступок. Постоянно бу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ьте в курсе, где и с кем ваш ребенок прово</w:t>
      </w:r>
      <w:r w:rsidR="009B6192"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8283A">
        <w:rPr>
          <w:rFonts w:ascii="Times New Roman" w:eastAsia="Times New Roman" w:hAnsi="Times New Roman" w:cs="Times New Roman"/>
          <w:sz w:val="28"/>
          <w:szCs w:val="28"/>
          <w:lang w:val="ru-RU"/>
        </w:rPr>
        <w:t>ит свободное время и пусть он всегда знает, где вы.</w:t>
      </w:r>
      <w:r w:rsidRPr="00F828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6D5CFAC" wp14:editId="338CF292">
            <wp:extent cx="9144" cy="164592"/>
            <wp:effectExtent l="0" t="0" r="0" b="0"/>
            <wp:docPr id="29873" name="Picture 29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3" name="Picture 298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B88" w:rsidRPr="00FC6E0C" w:rsidRDefault="00005B88" w:rsidP="00001386">
      <w:pPr>
        <w:tabs>
          <w:tab w:val="left" w:pos="6804"/>
        </w:tabs>
        <w:spacing w:after="0" w:line="240" w:lineRule="auto"/>
        <w:rPr>
          <w:i/>
        </w:rPr>
      </w:pPr>
    </w:p>
    <w:sectPr w:rsidR="00005B88" w:rsidRPr="00FC6E0C" w:rsidSect="00C236CB">
      <w:headerReference w:type="default" r:id="rId16"/>
      <w:pgSz w:w="12240" w:h="15840"/>
      <w:pgMar w:top="1134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33" w:rsidRDefault="00166E33">
      <w:pPr>
        <w:spacing w:after="0" w:line="240" w:lineRule="auto"/>
      </w:pPr>
      <w:r>
        <w:separator/>
      </w:r>
    </w:p>
  </w:endnote>
  <w:endnote w:type="continuationSeparator" w:id="0">
    <w:p w:rsidR="00166E33" w:rsidRDefault="0016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33" w:rsidRDefault="00166E33">
      <w:pPr>
        <w:spacing w:after="0" w:line="240" w:lineRule="auto"/>
      </w:pPr>
      <w:r>
        <w:separator/>
      </w:r>
    </w:p>
  </w:footnote>
  <w:footnote w:type="continuationSeparator" w:id="0">
    <w:p w:rsidR="00166E33" w:rsidRDefault="0016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871380"/>
      <w:docPartObj>
        <w:docPartGallery w:val="Page Numbers (Top of Page)"/>
        <w:docPartUnique/>
      </w:docPartObj>
    </w:sdtPr>
    <w:sdtEndPr/>
    <w:sdtContent>
      <w:p w:rsidR="00FC6E0C" w:rsidRDefault="00FC6E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3A" w:rsidRPr="00F8283A">
          <w:rPr>
            <w:noProof/>
            <w:lang w:val="ru-RU"/>
          </w:rPr>
          <w:t>2</w:t>
        </w:r>
        <w:r>
          <w:fldChar w:fldCharType="end"/>
        </w:r>
      </w:p>
    </w:sdtContent>
  </w:sdt>
  <w:p w:rsidR="00FC6E0C" w:rsidRDefault="00FC6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24"/>
    <w:rsid w:val="00001386"/>
    <w:rsid w:val="00005B88"/>
    <w:rsid w:val="00021C8D"/>
    <w:rsid w:val="00106F56"/>
    <w:rsid w:val="00166E33"/>
    <w:rsid w:val="001E4553"/>
    <w:rsid w:val="002132C8"/>
    <w:rsid w:val="00321E0B"/>
    <w:rsid w:val="00336525"/>
    <w:rsid w:val="003A3C06"/>
    <w:rsid w:val="0059143B"/>
    <w:rsid w:val="005C0BC9"/>
    <w:rsid w:val="00652024"/>
    <w:rsid w:val="006E2074"/>
    <w:rsid w:val="00745024"/>
    <w:rsid w:val="007F3D47"/>
    <w:rsid w:val="008E2CF3"/>
    <w:rsid w:val="009B6192"/>
    <w:rsid w:val="00C236CB"/>
    <w:rsid w:val="00C741BB"/>
    <w:rsid w:val="00CB0492"/>
    <w:rsid w:val="00D1670A"/>
    <w:rsid w:val="00F8283A"/>
    <w:rsid w:val="00FA6AF4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24"/>
  </w:style>
  <w:style w:type="character" w:styleId="a5">
    <w:name w:val="Hyperlink"/>
    <w:basedOn w:val="a0"/>
    <w:uiPriority w:val="99"/>
    <w:unhideWhenUsed/>
    <w:rsid w:val="00321E0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049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2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2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24"/>
  </w:style>
  <w:style w:type="character" w:styleId="a5">
    <w:name w:val="Hyperlink"/>
    <w:basedOn w:val="a0"/>
    <w:uiPriority w:val="99"/>
    <w:unhideWhenUsed/>
    <w:rsid w:val="00321E0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049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C654-826A-4255-B493-0BD1B468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13</cp:revision>
  <cp:lastPrinted>2025-09-04T11:40:00Z</cp:lastPrinted>
  <dcterms:created xsi:type="dcterms:W3CDTF">2025-09-04T06:04:00Z</dcterms:created>
  <dcterms:modified xsi:type="dcterms:W3CDTF">2025-09-06T15:20:00Z</dcterms:modified>
</cp:coreProperties>
</file>